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b112ebbc248e9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26008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DUBRAVA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340.860,77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545.228,77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352.960,10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545.663,16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12.099,33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434,39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3.174,05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8.825,31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278,0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3.174,05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8.825,31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278,0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15.273,38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9.259,70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60,6</w:t>
            </w:r>
          </w:p>
        </w:tc>
      </w:tr>
    </w:tbl>
    <w:p>
      <w:pPr>
        <w:spacing w:before="0" w:after="0"/>
      </w:pPr>
    </w:p>
    <w:p>
      <w:r>
        <w:t xml:space="preserve">Ostvareni manjak prihoda poslovanja u izvještajnom razdoblju iznosi 9.259,70 eura. Navedeni manjak rezultat je vremenskog nesklada u primjeni novčanog načela priznavanja prihoda. Naime, uplatnice za participaciju roditelja (opskrbnine) za rujan 2026. godine izdane su i dostavljene roditeljima u listopadu 2026. Slijedom navedenog, naplata i priznavanje prihoda za smještaj djece za deveti mjesec ostvareni su izvan ovog izvještajnog razdoblja, što je generiralo iskazani manjak.</w:t>
      </w:r>
    </w:p>
    <w:p>
      <w:r>
        <w:br/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50ce54da0b4439" /></Relationships>
</file>