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5de759e64422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26008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DUBRAVA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223.454,32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351.244,52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232.078,39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351.697,37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8.624,07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3.174,05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6.613,66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11.798,12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7.066,51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59,9</w:t>
            </w:r>
          </w:p>
        </w:tc>
      </w:tr>
    </w:tbl>
    <w:p>
      <w:pPr>
        <w:spacing w:before="0" w:after="0"/>
      </w:pPr>
    </w:p>
    <w:p>
      <w:r>
        <w:t xml:space="preserve">Rezultat razdoblja je manjak prihoda u iznosu 7.066,51 eura. Rashodi su ostvareni u skladu s financijskim mogućnostima, budući da je preneseni višak iz prethodne godine u ovoj godini raspoloživ u vidu sredstava na računu. Radilo se konkretno o iznosu raspoloživih novčanih sredstava na početku godine od 13.915,27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37,89 eura dospjelih obveza odnosi se na rate za mobitel koje se uplaćuju po mjesečnim računima za mobilne usluge.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9e48fc3f74d45" /></Relationships>
</file>